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Rimborsi a contribuenti-riversamenti a Comuni competenti - sgravi di quote indebite e inesigibili di tributi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garantire, a seguito di presentazione di apposita domanda, il diritto del contribuente ad ottenere la restituzione totale o parziale di somme versate e non dovute a titolo di tributi comunali.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D.L. 201/2011 - Leggi finanziarie annuali - L. 208/2015 (legge di stabilita' 2016) - Regolamento comunale ICI - Regolamento generale delle entrate comunali - Regolamento per l'applicazione IMU - Regolamento per la disciplina del tributo per i servizi indivisibili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E5792" w:rsidRDefault="00EE5792" w:rsidP="00EE579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A94069" w:rsidRDefault="00EE5792" w:rsidP="00EE579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94069" w:rsidRDefault="00EE579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</w:t>
            </w:r>
            <w:r w:rsidRPr="007137E0">
              <w:rPr>
                <w:rFonts w:ascii="Arial" w:hAnsi="Arial"/>
                <w:color w:val="000000"/>
              </w:rPr>
              <w:lastRenderedPageBreak/>
              <w:t>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E579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94069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792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24E00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2026-06-12T19:41:00Z</dcterms:modified>
</cp:coreProperties>
</file>